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EBEF" w14:textId="77777777" w:rsidR="001610AB" w:rsidRDefault="00173282">
      <w:pPr>
        <w:pStyle w:val="DefaultText"/>
        <w:widowControl/>
        <w:spacing w:line="720" w:lineRule="exact"/>
        <w:jc w:val="center"/>
      </w:pPr>
      <w:r>
        <w:rPr>
          <w:rFonts w:ascii="標楷體" w:eastAsia="標楷體" w:hAnsi="標楷體"/>
          <w:b/>
          <w:bCs/>
          <w:color w:val="000000"/>
          <w:sz w:val="48"/>
          <w:szCs w:val="40"/>
        </w:rPr>
        <w:t>民防團隊編組編製說明</w:t>
      </w:r>
    </w:p>
    <w:p w14:paraId="55E82550" w14:textId="77777777" w:rsidR="001610AB" w:rsidRDefault="001610AB">
      <w:pPr>
        <w:pStyle w:val="DefaultText"/>
        <w:widowControl/>
        <w:rPr>
          <w:rFonts w:ascii="標楷體" w:eastAsia="標楷體" w:hAnsi="標楷體"/>
          <w:color w:val="000000"/>
          <w:sz w:val="48"/>
          <w:szCs w:val="20"/>
        </w:rPr>
      </w:pPr>
    </w:p>
    <w:p w14:paraId="45EC40B5" w14:textId="77777777" w:rsidR="001610AB" w:rsidRDefault="00173282">
      <w:pPr>
        <w:pStyle w:val="DefaultText"/>
        <w:widowControl/>
        <w:spacing w:line="500" w:lineRule="exact"/>
        <w:ind w:left="3200" w:hanging="3200"/>
      </w:pPr>
      <w:r>
        <w:rPr>
          <w:rFonts w:ascii="標楷體" w:eastAsia="標楷體" w:hAnsi="標楷體"/>
          <w:color w:val="000000"/>
          <w:sz w:val="32"/>
          <w:szCs w:val="32"/>
        </w:rPr>
        <w:t>一、統計範圍及對象：凡依民防團隊編組訓練演習服勤及支援軍事勤務辦法，納入本機關轄區內民防團隊編組之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民防總隊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、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民防團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、防護團及聯合防護團之隊數及人數，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均為統計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對象。</w:t>
      </w:r>
    </w:p>
    <w:p w14:paraId="137B4702" w14:textId="77777777" w:rsidR="001610AB" w:rsidRDefault="00173282">
      <w:pPr>
        <w:pStyle w:val="DefaultText"/>
        <w:widowControl/>
        <w:spacing w:line="500" w:lineRule="exact"/>
        <w:ind w:left="2900" w:hanging="2900"/>
      </w:pPr>
      <w:r>
        <w:rPr>
          <w:rFonts w:ascii="標楷體" w:eastAsia="標楷體" w:hAnsi="標楷體"/>
          <w:color w:val="000000"/>
          <w:sz w:val="32"/>
          <w:szCs w:val="32"/>
        </w:rPr>
        <w:t>二、統計標準時間：以每年</w:t>
      </w:r>
      <w:r>
        <w:rPr>
          <w:rFonts w:ascii="標楷體" w:eastAsia="標楷體" w:hAnsi="標楷體"/>
          <w:color w:val="FF0000"/>
          <w:sz w:val="32"/>
          <w:szCs w:val="32"/>
        </w:rPr>
        <w:t>3</w:t>
      </w:r>
      <w:r>
        <w:rPr>
          <w:rFonts w:ascii="標楷體" w:eastAsia="標楷體" w:hAnsi="標楷體"/>
          <w:color w:val="FF0000"/>
          <w:sz w:val="32"/>
          <w:szCs w:val="32"/>
        </w:rPr>
        <w:t>、</w:t>
      </w:r>
      <w:r>
        <w:rPr>
          <w:rFonts w:ascii="標楷體" w:eastAsia="標楷體" w:hAnsi="標楷體"/>
          <w:color w:val="FF0000"/>
          <w:sz w:val="32"/>
          <w:szCs w:val="32"/>
        </w:rPr>
        <w:t>6</w:t>
      </w:r>
      <w:r>
        <w:rPr>
          <w:rFonts w:ascii="標楷體" w:eastAsia="標楷體" w:hAnsi="標楷體"/>
          <w:color w:val="FF0000"/>
          <w:sz w:val="32"/>
          <w:szCs w:val="32"/>
        </w:rPr>
        <w:t>、</w:t>
      </w:r>
      <w:r>
        <w:rPr>
          <w:rFonts w:ascii="標楷體" w:eastAsia="標楷體" w:hAnsi="標楷體"/>
          <w:color w:val="FF0000"/>
          <w:sz w:val="32"/>
          <w:szCs w:val="32"/>
        </w:rPr>
        <w:t>9</w:t>
      </w:r>
      <w:r>
        <w:rPr>
          <w:rFonts w:ascii="標楷體" w:eastAsia="標楷體" w:hAnsi="標楷體"/>
          <w:color w:val="FF0000"/>
          <w:sz w:val="32"/>
          <w:szCs w:val="32"/>
        </w:rPr>
        <w:t>、</w:t>
      </w:r>
      <w:r>
        <w:rPr>
          <w:rFonts w:ascii="標楷體" w:eastAsia="標楷體" w:hAnsi="標楷體"/>
          <w:color w:val="FF0000"/>
          <w:sz w:val="32"/>
          <w:szCs w:val="32"/>
        </w:rPr>
        <w:t>12</w:t>
      </w:r>
      <w:r>
        <w:rPr>
          <w:rFonts w:ascii="標楷體" w:eastAsia="標楷體" w:hAnsi="標楷體"/>
          <w:color w:val="FF0000"/>
          <w:sz w:val="32"/>
          <w:szCs w:val="32"/>
        </w:rPr>
        <w:t>月底</w:t>
      </w:r>
      <w:r>
        <w:rPr>
          <w:rFonts w:ascii="標楷體" w:eastAsia="標楷體" w:hAnsi="標楷體"/>
          <w:color w:val="000000"/>
          <w:sz w:val="32"/>
          <w:szCs w:val="32"/>
        </w:rPr>
        <w:t>之事實為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準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14:paraId="7B5FD6BD" w14:textId="77777777" w:rsidR="001610AB" w:rsidRDefault="00173282">
      <w:pPr>
        <w:pStyle w:val="DefaultText"/>
        <w:widowControl/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三、分類標準：按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民防總隊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編組、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民防團編組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、防護團編組及聯合防護團分類。</w:t>
      </w:r>
    </w:p>
    <w:p w14:paraId="26BE07A6" w14:textId="77777777" w:rsidR="001610AB" w:rsidRDefault="00173282">
      <w:pPr>
        <w:pStyle w:val="DefaultText"/>
        <w:widowControl/>
        <w:spacing w:line="500" w:lineRule="exact"/>
      </w:pPr>
      <w:r>
        <w:rPr>
          <w:rFonts w:ascii="標楷體" w:eastAsia="標楷體" w:hAnsi="標楷體"/>
          <w:color w:val="000000"/>
          <w:sz w:val="32"/>
          <w:szCs w:val="32"/>
        </w:rPr>
        <w:t>四、統計項目定義：</w:t>
      </w:r>
    </w:p>
    <w:p w14:paraId="63382FDD" w14:textId="77777777" w:rsidR="001610AB" w:rsidRDefault="00173282">
      <w:pPr>
        <w:pStyle w:val="DefaultText"/>
        <w:widowControl/>
        <w:spacing w:line="500" w:lineRule="exact"/>
        <w:ind w:left="2506" w:hanging="2214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)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民防總隊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：指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民防總隊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下設之民防、義勇警察、交通義勇警察、村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社區守望相助巡守、山地義勇警察、戰時災民收容救濟、醫護、環境保護、工程搶修等大、中、分、小隊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站、分站、支站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14:paraId="7D9112D7" w14:textId="77777777" w:rsidR="001610AB" w:rsidRDefault="00173282">
      <w:pPr>
        <w:pStyle w:val="DefaultText"/>
        <w:widowControl/>
        <w:spacing w:line="500" w:lineRule="exact"/>
        <w:ind w:left="2241" w:hanging="1949"/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民防團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：指由鄉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鎮、市、區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公所編組之民防團隊，負責推行轄區民防業務之民防團隊任務編組，包括疏散避難宣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慰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中隊、民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防分團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、勤務組。</w:t>
      </w:r>
    </w:p>
    <w:p w14:paraId="418CAEFA" w14:textId="77777777" w:rsidR="001610AB" w:rsidRDefault="00173282">
      <w:pPr>
        <w:pStyle w:val="DefaultText"/>
        <w:widowControl/>
        <w:spacing w:line="500" w:lineRule="exact"/>
        <w:ind w:left="2183" w:hanging="1891"/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三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防護團：指由工作人數達</w:t>
      </w:r>
      <w:r>
        <w:rPr>
          <w:rFonts w:ascii="標楷體" w:eastAsia="標楷體" w:hAnsi="標楷體"/>
          <w:color w:val="000000"/>
          <w:sz w:val="32"/>
          <w:szCs w:val="32"/>
        </w:rPr>
        <w:t>100</w:t>
      </w:r>
      <w:r>
        <w:rPr>
          <w:rFonts w:ascii="標楷體" w:eastAsia="標楷體" w:hAnsi="標楷體"/>
          <w:color w:val="000000"/>
          <w:sz w:val="32"/>
          <w:szCs w:val="32"/>
        </w:rPr>
        <w:t>人以上之機關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</w:rPr>
        <w:t>構</w:t>
      </w:r>
      <w:r>
        <w:rPr>
          <w:rFonts w:ascii="標楷體" w:eastAsia="標楷體" w:hAnsi="標楷體"/>
          <w:color w:val="000000"/>
          <w:sz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、學校、團體、公司、廠場</w:t>
      </w:r>
      <w:r>
        <w:rPr>
          <w:rFonts w:ascii="標楷體" w:eastAsia="標楷體" w:hAnsi="標楷體"/>
          <w:color w:val="000000"/>
          <w:sz w:val="32"/>
        </w:rPr>
        <w:t>所編組之</w:t>
      </w:r>
      <w:r>
        <w:rPr>
          <w:rFonts w:ascii="標楷體" w:eastAsia="標楷體" w:hAnsi="標楷體"/>
          <w:color w:val="000000"/>
          <w:sz w:val="32"/>
          <w:szCs w:val="32"/>
        </w:rPr>
        <w:t>民防團隊。</w:t>
      </w:r>
    </w:p>
    <w:p w14:paraId="4D2183D0" w14:textId="77777777" w:rsidR="001610AB" w:rsidRDefault="00173282">
      <w:pPr>
        <w:pStyle w:val="DefaultText"/>
        <w:widowControl/>
        <w:spacing w:line="500" w:lineRule="exact"/>
        <w:ind w:left="2842" w:hanging="2550"/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四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聯合防護團：指由其工作人數未達</w:t>
      </w:r>
      <w:r>
        <w:rPr>
          <w:rFonts w:ascii="標楷體" w:eastAsia="標楷體" w:hAnsi="標楷體"/>
          <w:color w:val="000000"/>
          <w:sz w:val="32"/>
          <w:szCs w:val="32"/>
        </w:rPr>
        <w:t>100</w:t>
      </w:r>
      <w:r>
        <w:rPr>
          <w:rFonts w:ascii="標楷體" w:eastAsia="標楷體" w:hAnsi="標楷體"/>
          <w:color w:val="000000"/>
          <w:sz w:val="32"/>
          <w:szCs w:val="32"/>
        </w:rPr>
        <w:t>人</w:t>
      </w:r>
      <w:r>
        <w:rPr>
          <w:rFonts w:ascii="標楷體" w:eastAsia="標楷體" w:hAnsi="標楷體"/>
          <w:color w:val="000000"/>
          <w:sz w:val="32"/>
        </w:rPr>
        <w:t>，而在同一建築物或工業區內之機關</w:t>
      </w:r>
      <w:r>
        <w:rPr>
          <w:rFonts w:ascii="標楷體" w:eastAsia="標楷體" w:hAnsi="標楷體"/>
          <w:color w:val="000000"/>
          <w:sz w:val="32"/>
        </w:rPr>
        <w:t>(</w:t>
      </w:r>
      <w:r>
        <w:rPr>
          <w:rFonts w:ascii="標楷體" w:eastAsia="標楷體" w:hAnsi="標楷體"/>
          <w:color w:val="000000"/>
          <w:sz w:val="32"/>
        </w:rPr>
        <w:t>構</w:t>
      </w:r>
      <w:r>
        <w:rPr>
          <w:rFonts w:ascii="標楷體" w:eastAsia="標楷體" w:hAnsi="標楷體"/>
          <w:color w:val="000000"/>
          <w:sz w:val="32"/>
        </w:rPr>
        <w:t>)</w:t>
      </w:r>
      <w:r>
        <w:rPr>
          <w:rFonts w:ascii="標楷體" w:eastAsia="標楷體" w:hAnsi="標楷體"/>
          <w:color w:val="000000"/>
          <w:sz w:val="32"/>
        </w:rPr>
        <w:t>、學校、團體、公司、廠場</w:t>
      </w:r>
      <w:r>
        <w:rPr>
          <w:rFonts w:ascii="標楷體" w:eastAsia="標楷體" w:hAnsi="標楷體"/>
          <w:color w:val="000000"/>
          <w:sz w:val="32"/>
          <w:szCs w:val="32"/>
        </w:rPr>
        <w:t>所編組之民防團隊</w:t>
      </w:r>
      <w:r>
        <w:rPr>
          <w:rFonts w:ascii="標楷體" w:eastAsia="標楷體" w:hAnsi="標楷體"/>
          <w:color w:val="000000"/>
          <w:sz w:val="32"/>
        </w:rPr>
        <w:t>。</w:t>
      </w:r>
    </w:p>
    <w:p w14:paraId="19CA97FC" w14:textId="77777777" w:rsidR="001610AB" w:rsidRDefault="00173282">
      <w:pPr>
        <w:pStyle w:val="DefaultText"/>
        <w:widowControl/>
        <w:spacing w:line="500" w:lineRule="exact"/>
      </w:pPr>
      <w:r>
        <w:rPr>
          <w:rFonts w:ascii="標楷體" w:eastAsia="標楷體" w:hAnsi="標楷體"/>
          <w:color w:val="000000"/>
          <w:sz w:val="32"/>
          <w:szCs w:val="32"/>
        </w:rPr>
        <w:t>五、資料蒐集方法及編製程序：由各警察分局將編組現況，送主管警察局審核後彙編。</w:t>
      </w:r>
    </w:p>
    <w:p w14:paraId="0C3554B9" w14:textId="77777777" w:rsidR="001610AB" w:rsidRDefault="00173282">
      <w:pPr>
        <w:pStyle w:val="DefaultText"/>
        <w:widowControl/>
        <w:spacing w:line="500" w:lineRule="exact"/>
        <w:ind w:left="2268" w:hanging="2268"/>
      </w:pPr>
      <w:r>
        <w:rPr>
          <w:rFonts w:ascii="標楷體" w:eastAsia="標楷體" w:hAnsi="標楷體"/>
          <w:color w:val="000000"/>
          <w:sz w:val="32"/>
          <w:szCs w:val="32"/>
        </w:rPr>
        <w:t>六、編送對象：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本表編製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式</w:t>
      </w:r>
      <w:r>
        <w:rPr>
          <w:rFonts w:ascii="標楷體" w:eastAsia="標楷體" w:hAnsi="標楷體"/>
          <w:color w:val="000000"/>
          <w:sz w:val="32"/>
          <w:szCs w:val="32"/>
        </w:rPr>
        <w:t>3</w:t>
      </w:r>
      <w:r>
        <w:rPr>
          <w:rFonts w:ascii="標楷體" w:eastAsia="標楷體" w:hAnsi="標楷體"/>
          <w:color w:val="000000"/>
          <w:sz w:val="32"/>
          <w:szCs w:val="32"/>
        </w:rPr>
        <w:t>份，先送會計室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統計室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會核，並經機關長官核章後，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份送會計室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統計室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，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份自存，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份報送各直轄市、縣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市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政府</w:t>
      </w:r>
      <w:r>
        <w:rPr>
          <w:rFonts w:ascii="標楷體" w:eastAsia="標楷體" w:hAnsi="標楷體"/>
          <w:color w:val="FF0000"/>
          <w:sz w:val="32"/>
          <w:szCs w:val="32"/>
        </w:rPr>
        <w:t>主計處</w:t>
      </w:r>
      <w:r>
        <w:rPr>
          <w:rFonts w:ascii="標楷體" w:eastAsia="標楷體" w:hAnsi="標楷體"/>
          <w:color w:val="000000"/>
          <w:sz w:val="32"/>
          <w:szCs w:val="32"/>
        </w:rPr>
        <w:t>外，本表應於規定期限內由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網際網路線上傳送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至內政部警政署警政統計資料庫。</w:t>
      </w:r>
    </w:p>
    <w:p w14:paraId="74FFFD31" w14:textId="77777777" w:rsidR="001610AB" w:rsidRDefault="001610AB">
      <w:pPr>
        <w:pStyle w:val="DefaultText"/>
        <w:widowControl/>
        <w:spacing w:line="504" w:lineRule="exact"/>
        <w:rPr>
          <w:rFonts w:ascii="標楷體" w:eastAsia="標楷體" w:hAnsi="標楷體"/>
          <w:color w:val="000000"/>
          <w:sz w:val="20"/>
          <w:szCs w:val="20"/>
        </w:rPr>
      </w:pPr>
    </w:p>
    <w:sectPr w:rsidR="001610AB">
      <w:pgSz w:w="23814" w:h="16840" w:orient="landscape"/>
      <w:pgMar w:top="1712" w:right="2160" w:bottom="1026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EA7F" w14:textId="77777777" w:rsidR="00173282" w:rsidRDefault="00173282">
      <w:r>
        <w:separator/>
      </w:r>
    </w:p>
  </w:endnote>
  <w:endnote w:type="continuationSeparator" w:id="0">
    <w:p w14:paraId="339A72E0" w14:textId="77777777" w:rsidR="00173282" w:rsidRDefault="0017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CD18" w14:textId="77777777" w:rsidR="00173282" w:rsidRDefault="00173282">
      <w:r>
        <w:rPr>
          <w:color w:val="000000"/>
        </w:rPr>
        <w:separator/>
      </w:r>
    </w:p>
  </w:footnote>
  <w:footnote w:type="continuationSeparator" w:id="0">
    <w:p w14:paraId="35B11F15" w14:textId="77777777" w:rsidR="00173282" w:rsidRDefault="0017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10AB"/>
    <w:rsid w:val="001610AB"/>
    <w:rsid w:val="00173282"/>
    <w:rsid w:val="006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C62D"/>
  <w15:docId w15:val="{B02A4B34-4E6A-4FF8-913B-DEEB7C00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autoSpaceDE w:val="0"/>
    </w:pPr>
  </w:style>
  <w:style w:type="paragraph" w:customStyle="1" w:styleId="Heading">
    <w:name w:val="Heading"/>
    <w:basedOn w:val="Textbody"/>
    <w:pPr>
      <w:keepLines/>
      <w:spacing w:before="144" w:after="72"/>
      <w:jc w:val="center"/>
    </w:pPr>
    <w:rPr>
      <w:rFonts w:ascii="細明體" w:eastAsia="細明體" w:hAnsi="細明體" w:cs="細明體"/>
      <w:b/>
      <w:bCs/>
      <w:sz w:val="36"/>
      <w:szCs w:val="36"/>
    </w:rPr>
  </w:style>
  <w:style w:type="paragraph" w:customStyle="1" w:styleId="Subhead">
    <w:name w:val="Subhead"/>
    <w:basedOn w:val="Textbody"/>
    <w:pPr>
      <w:spacing w:before="72" w:after="72"/>
    </w:pPr>
    <w:rPr>
      <w:rFonts w:ascii="細明體" w:eastAsia="細明體" w:hAnsi="細明體" w:cs="細明體"/>
      <w:b/>
      <w:bCs/>
      <w:i/>
      <w:iCs/>
      <w:sz w:val="24"/>
      <w:szCs w:val="24"/>
    </w:rPr>
  </w:style>
  <w:style w:type="paragraph" w:customStyle="1" w:styleId="NumberList">
    <w:name w:val="Number List"/>
    <w:basedOn w:val="Textbody"/>
    <w:pPr>
      <w:ind w:left="720" w:hanging="360"/>
    </w:pPr>
    <w:rPr>
      <w:rFonts w:ascii="細明體" w:eastAsia="細明體" w:hAnsi="細明體" w:cs="細明體"/>
      <w:sz w:val="24"/>
      <w:szCs w:val="24"/>
    </w:rPr>
  </w:style>
  <w:style w:type="paragraph" w:customStyle="1" w:styleId="Bullet1">
    <w:name w:val="Bullet 1"/>
    <w:basedOn w:val="Textbody"/>
    <w:pPr>
      <w:ind w:left="576" w:hanging="288"/>
    </w:pPr>
    <w:rPr>
      <w:rFonts w:ascii="細明體" w:eastAsia="細明體" w:hAnsi="細明體" w:cs="細明體"/>
      <w:sz w:val="24"/>
      <w:szCs w:val="24"/>
    </w:rPr>
  </w:style>
  <w:style w:type="paragraph" w:customStyle="1" w:styleId="Bullet">
    <w:name w:val="Bullet"/>
    <w:basedOn w:val="Textbody"/>
    <w:pPr>
      <w:ind w:left="288" w:hanging="288"/>
    </w:pPr>
    <w:rPr>
      <w:rFonts w:ascii="細明體" w:eastAsia="細明體" w:hAnsi="細明體" w:cs="細明體"/>
      <w:sz w:val="24"/>
      <w:szCs w:val="24"/>
    </w:rPr>
  </w:style>
  <w:style w:type="paragraph" w:customStyle="1" w:styleId="BodySingle">
    <w:name w:val="Body Single"/>
    <w:basedOn w:val="Textbody"/>
    <w:rPr>
      <w:rFonts w:ascii="細明體" w:eastAsia="細明體" w:hAnsi="細明體" w:cs="細明體"/>
      <w:sz w:val="24"/>
      <w:szCs w:val="24"/>
    </w:rPr>
  </w:style>
  <w:style w:type="paragraph" w:customStyle="1" w:styleId="DefaultText">
    <w:name w:val="Default Text"/>
    <w:basedOn w:val="Textbody"/>
    <w:rPr>
      <w:rFonts w:ascii="華康中楷體" w:eastAsia="華康中楷體" w:hAnsi="華康中楷體" w:cs="華康中楷體"/>
      <w:sz w:val="24"/>
      <w:szCs w:val="24"/>
    </w:rPr>
  </w:style>
  <w:style w:type="paragraph" w:styleId="a3">
    <w:name w:val="annotation text"/>
    <w:basedOn w:val="Textbody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</w:style>
  <w:style w:type="character" w:styleId="a6">
    <w:name w:val="annotation reference"/>
    <w:basedOn w:val="a0"/>
    <w:rPr>
      <w:sz w:val="18"/>
      <w:szCs w:val="18"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現有分局、分駐所﹝警察所﹞、派出所及警勤區數編製說明</dc:title>
  <dc:subject/>
  <dc:creator>警政廳</dc:creator>
  <dc:description/>
  <cp:lastModifiedBy>黃瑋傑</cp:lastModifiedBy>
  <cp:revision>2</cp:revision>
  <cp:lastPrinted>2003-06-17T09:55:00Z</cp:lastPrinted>
  <dcterms:created xsi:type="dcterms:W3CDTF">2025-03-25T01:56:00Z</dcterms:created>
  <dcterms:modified xsi:type="dcterms:W3CDTF">2025-03-25T01:56:00Z</dcterms:modified>
</cp:coreProperties>
</file>