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75" w:rsidRPr="007A63EB" w:rsidRDefault="00CC74AE">
      <w:pPr>
        <w:jc w:val="center"/>
        <w:rPr>
          <w:sz w:val="40"/>
          <w:szCs w:val="40"/>
        </w:rPr>
      </w:pPr>
      <w:r w:rsidRPr="007A63EB">
        <w:rPr>
          <w:rFonts w:ascii="標楷體" w:eastAsia="標楷體" w:hAnsi="標楷體" w:cs="標楷體"/>
          <w:b/>
          <w:sz w:val="40"/>
          <w:szCs w:val="40"/>
        </w:rPr>
        <w:t>執行</w:t>
      </w:r>
      <w:r w:rsidRPr="007A63EB">
        <w:rPr>
          <w:rFonts w:ascii="標楷體" w:eastAsia="標楷體" w:hAnsi="標楷體" w:cs="標楷體"/>
          <w:b/>
          <w:color w:val="FF0000"/>
          <w:sz w:val="40"/>
          <w:szCs w:val="40"/>
        </w:rPr>
        <w:t>警勤區</w:t>
      </w:r>
      <w:r w:rsidRPr="007A63EB">
        <w:rPr>
          <w:rFonts w:ascii="標楷體" w:eastAsia="標楷體" w:hAnsi="標楷體" w:cs="標楷體"/>
          <w:b/>
          <w:sz w:val="40"/>
          <w:szCs w:val="40"/>
        </w:rPr>
        <w:t>訪查工作成果</w:t>
      </w:r>
      <w:r w:rsidRPr="007A63EB">
        <w:rPr>
          <w:rFonts w:ascii="標楷體" w:eastAsia="標楷體" w:hAnsi="標楷體" w:cs="標楷體"/>
          <w:b/>
          <w:sz w:val="40"/>
          <w:szCs w:val="40"/>
        </w:rPr>
        <w:t>統計編製說明</w:t>
      </w:r>
    </w:p>
    <w:p w:rsidR="00A56A75" w:rsidRDefault="00A56A75">
      <w:pPr>
        <w:rPr>
          <w:rFonts w:ascii="標楷體" w:eastAsia="標楷體" w:hAnsi="標楷體" w:cs="標楷體"/>
          <w:b/>
          <w:sz w:val="28"/>
        </w:rPr>
      </w:pPr>
    </w:p>
    <w:p w:rsidR="00A56A75" w:rsidRPr="007A63EB" w:rsidRDefault="00CC74AE" w:rsidP="007A63EB">
      <w:pPr>
        <w:tabs>
          <w:tab w:val="left" w:pos="14317"/>
        </w:tabs>
        <w:spacing w:line="500" w:lineRule="exact"/>
        <w:ind w:left="2835" w:hanging="2835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>一、統計範圍及對象：本機關轄區內，為順遂達成犯罪預防、為民服務及社會治安調查等任務所執行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警勤區</w:t>
      </w:r>
      <w:r w:rsidRPr="007A63EB">
        <w:rPr>
          <w:rFonts w:ascii="標楷體" w:eastAsia="標楷體" w:hAnsi="標楷體" w:cs="標楷體"/>
          <w:sz w:val="28"/>
          <w:szCs w:val="28"/>
        </w:rPr>
        <w:t>訪查工作為統計範圍及對象。</w:t>
      </w:r>
    </w:p>
    <w:p w:rsidR="00A56A75" w:rsidRPr="007A63EB" w:rsidRDefault="00CC74AE">
      <w:pPr>
        <w:spacing w:line="500" w:lineRule="exact"/>
        <w:rPr>
          <w:rFonts w:ascii="標楷體" w:eastAsia="標楷體" w:hAnsi="標楷體" w:cs="標楷體"/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>二、統計標準時間：以每月</w:t>
      </w:r>
      <w:r w:rsidRPr="007A63EB">
        <w:rPr>
          <w:rFonts w:ascii="標楷體" w:eastAsia="標楷體" w:hAnsi="標楷體" w:cs="標楷體"/>
          <w:sz w:val="28"/>
          <w:szCs w:val="28"/>
        </w:rPr>
        <w:t>1</w:t>
      </w:r>
      <w:r w:rsidRPr="007A63EB">
        <w:rPr>
          <w:rFonts w:ascii="標楷體" w:eastAsia="標楷體" w:hAnsi="標楷體" w:cs="標楷體"/>
          <w:sz w:val="28"/>
          <w:szCs w:val="28"/>
        </w:rPr>
        <w:t>日至月底之事實為</w:t>
      </w:r>
      <w:proofErr w:type="gramStart"/>
      <w:r w:rsidRPr="007A63EB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Pr="007A63EB">
        <w:rPr>
          <w:rFonts w:ascii="標楷體" w:eastAsia="標楷體" w:hAnsi="標楷體" w:cs="標楷體"/>
          <w:sz w:val="28"/>
          <w:szCs w:val="28"/>
        </w:rPr>
        <w:t>。</w:t>
      </w:r>
    </w:p>
    <w:p w:rsidR="00A56A75" w:rsidRPr="007A63EB" w:rsidRDefault="00CC74AE">
      <w:pPr>
        <w:spacing w:line="420" w:lineRule="exact"/>
        <w:ind w:left="640" w:hanging="640"/>
        <w:rPr>
          <w:sz w:val="28"/>
          <w:szCs w:val="28"/>
        </w:rPr>
      </w:pPr>
      <w:r w:rsidRPr="007A63EB">
        <w:rPr>
          <w:rFonts w:eastAsia="標楷體"/>
          <w:sz w:val="28"/>
          <w:szCs w:val="28"/>
        </w:rPr>
        <w:t>三、分類標準：</w:t>
      </w:r>
      <w:r w:rsidRPr="007A63EB">
        <w:rPr>
          <w:rFonts w:eastAsia="標楷體"/>
          <w:color w:val="FF0000"/>
          <w:sz w:val="28"/>
          <w:szCs w:val="28"/>
        </w:rPr>
        <w:t>依警察勤務區訪查作業規定分為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治安顧慮人口及記事人口查訪次數</w:t>
      </w:r>
      <w:r w:rsidRPr="007A63EB">
        <w:rPr>
          <w:rFonts w:ascii="新細明體;PMingLiU" w:eastAsia="標楷體" w:hAnsi="新細明體;PMingLiU" w:cs="新細明體;PMingLiU"/>
          <w:color w:val="FF0000"/>
          <w:sz w:val="28"/>
          <w:szCs w:val="28"/>
        </w:rPr>
        <w:t>、</w:t>
      </w:r>
      <w:r w:rsidRPr="007A63EB">
        <w:rPr>
          <w:rFonts w:ascii="標楷體" w:eastAsia="標楷體" w:hAnsi="標楷體" w:cs="標楷體"/>
          <w:sz w:val="28"/>
          <w:szCs w:val="28"/>
        </w:rPr>
        <w:t>集合式住宅訪查件數</w:t>
      </w:r>
      <w:r w:rsidRPr="007A63EB">
        <w:rPr>
          <w:rFonts w:ascii="新細明體;PMingLiU" w:eastAsia="標楷體" w:hAnsi="新細明體;PMingLiU" w:cs="新細明體;PMingLiU"/>
          <w:color w:val="FF0000"/>
          <w:sz w:val="28"/>
          <w:szCs w:val="28"/>
        </w:rPr>
        <w:t>、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一般人口訪查戶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次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數</w:t>
      </w:r>
      <w:r w:rsidRPr="007A63EB">
        <w:rPr>
          <w:rFonts w:ascii="新細明體;PMingLiU" w:eastAsia="標楷體" w:hAnsi="新細明體;PMingLiU" w:cs="新細明體;PMingLiU"/>
          <w:color w:val="FF0000"/>
          <w:sz w:val="28"/>
          <w:szCs w:val="28"/>
        </w:rPr>
        <w:t>、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諮詢對象聯繫拜訪戶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次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數、無設籍治安顧慮人口及記事人口數、治安重點處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場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所。</w:t>
      </w:r>
    </w:p>
    <w:p w:rsidR="00A56A75" w:rsidRPr="007A63EB" w:rsidRDefault="00CC74AE">
      <w:pPr>
        <w:spacing w:line="500" w:lineRule="exact"/>
        <w:rPr>
          <w:rFonts w:eastAsia="標楷體"/>
          <w:sz w:val="28"/>
          <w:szCs w:val="28"/>
        </w:rPr>
      </w:pPr>
      <w:r w:rsidRPr="007A63EB">
        <w:rPr>
          <w:rFonts w:eastAsia="標楷體"/>
          <w:sz w:val="28"/>
          <w:szCs w:val="28"/>
        </w:rPr>
        <w:t>四、統計項目定義：</w:t>
      </w:r>
    </w:p>
    <w:p w:rsidR="00A56A75" w:rsidRPr="007A63EB" w:rsidRDefault="00CC74AE">
      <w:pPr>
        <w:spacing w:line="480" w:lineRule="exact"/>
        <w:ind w:left="947" w:hanging="629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>(</w:t>
      </w:r>
      <w:proofErr w:type="gramStart"/>
      <w:r w:rsidRPr="007A63EB">
        <w:rPr>
          <w:rFonts w:ascii="標楷體" w:eastAsia="標楷體" w:hAnsi="標楷體" w:cs="標楷體"/>
          <w:sz w:val="28"/>
          <w:szCs w:val="28"/>
        </w:rPr>
        <w:t>一</w:t>
      </w:r>
      <w:proofErr w:type="gramEnd"/>
      <w:r w:rsidRPr="007A63EB">
        <w:rPr>
          <w:rFonts w:ascii="標楷體" w:eastAsia="標楷體" w:hAnsi="標楷體" w:cs="標楷體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治安顧慮人口查訪次數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: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依「治安顧慮人口查訪辦法」及「治安顧慮人口查訪作業規定」等有關規定辦理。</w:t>
      </w:r>
    </w:p>
    <w:p w:rsidR="00A56A75" w:rsidRPr="007A63EB" w:rsidRDefault="00CC74AE">
      <w:pPr>
        <w:spacing w:line="480" w:lineRule="exact"/>
        <w:ind w:left="947" w:hanging="629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>(</w:t>
      </w:r>
      <w:r w:rsidRPr="007A63EB">
        <w:rPr>
          <w:rFonts w:ascii="標楷體" w:eastAsia="標楷體" w:hAnsi="標楷體" w:cs="標楷體"/>
          <w:sz w:val="28"/>
          <w:szCs w:val="28"/>
        </w:rPr>
        <w:t>二</w:t>
      </w:r>
      <w:r w:rsidRPr="007A63EB">
        <w:rPr>
          <w:rFonts w:ascii="標楷體" w:eastAsia="標楷體" w:hAnsi="標楷體" w:cs="標楷體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記事人口查訪次數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: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依「警察勤務區訪查辦法」及「警察勤務區訪查作業規定」等有關規定辦理。</w:t>
      </w:r>
    </w:p>
    <w:p w:rsidR="00A56A75" w:rsidRPr="007A63EB" w:rsidRDefault="00CC74AE">
      <w:pPr>
        <w:spacing w:line="480" w:lineRule="exact"/>
        <w:ind w:left="960" w:hanging="960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 xml:space="preserve">  (</w:t>
      </w:r>
      <w:r w:rsidRPr="007A63EB">
        <w:rPr>
          <w:rFonts w:ascii="標楷體" w:eastAsia="標楷體" w:hAnsi="標楷體" w:cs="標楷體"/>
          <w:sz w:val="28"/>
          <w:szCs w:val="28"/>
        </w:rPr>
        <w:t>三</w:t>
      </w:r>
      <w:r w:rsidRPr="007A63EB">
        <w:rPr>
          <w:rFonts w:ascii="標楷體" w:eastAsia="標楷體" w:hAnsi="標楷體" w:cs="標楷體"/>
          <w:sz w:val="28"/>
          <w:szCs w:val="28"/>
        </w:rPr>
        <w:t>)</w:t>
      </w:r>
      <w:r w:rsidRPr="007A63EB">
        <w:rPr>
          <w:rFonts w:ascii="標楷體" w:eastAsia="標楷體" w:hAnsi="標楷體" w:cs="標楷體"/>
          <w:sz w:val="28"/>
          <w:szCs w:val="28"/>
        </w:rPr>
        <w:t>有管理委員會之集合式住宅訪查件數</w:t>
      </w:r>
      <w:r w:rsidRPr="007A63EB">
        <w:rPr>
          <w:rFonts w:ascii="標楷體" w:eastAsia="標楷體" w:hAnsi="標楷體" w:cs="標楷體"/>
          <w:sz w:val="28"/>
          <w:szCs w:val="28"/>
        </w:rPr>
        <w:t>:</w:t>
      </w:r>
      <w:proofErr w:type="gramStart"/>
      <w:r w:rsidRPr="007A63EB">
        <w:rPr>
          <w:rFonts w:ascii="標楷體" w:eastAsia="標楷體" w:hAnsi="標楷體" w:cs="標楷體"/>
          <w:sz w:val="28"/>
          <w:szCs w:val="28"/>
        </w:rPr>
        <w:t>係指轄內</w:t>
      </w:r>
      <w:proofErr w:type="gramEnd"/>
      <w:r w:rsidRPr="007A63EB">
        <w:rPr>
          <w:rFonts w:ascii="標楷體" w:eastAsia="標楷體" w:hAnsi="標楷體" w:cs="標楷體"/>
          <w:sz w:val="28"/>
          <w:szCs w:val="28"/>
        </w:rPr>
        <w:t>環境單純且</w:t>
      </w:r>
      <w:proofErr w:type="gramStart"/>
      <w:r w:rsidRPr="007A63EB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7A63EB">
        <w:rPr>
          <w:rFonts w:ascii="標楷體" w:eastAsia="標楷體" w:hAnsi="標楷體" w:cs="標楷體"/>
          <w:sz w:val="28"/>
          <w:szCs w:val="28"/>
        </w:rPr>
        <w:t>有保全人員之集合式住宅（大樓），警勤區員警認有必要時，得於獲得管理委員會同意後，陳請所長核准，就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警勤區</w:t>
      </w:r>
      <w:r w:rsidRPr="007A63EB">
        <w:rPr>
          <w:rFonts w:ascii="標楷體" w:eastAsia="標楷體" w:hAnsi="標楷體" w:cs="標楷體"/>
          <w:sz w:val="28"/>
          <w:szCs w:val="28"/>
        </w:rPr>
        <w:t>訪查事項，以座談會方式實施。</w:t>
      </w:r>
    </w:p>
    <w:p w:rsidR="00A56A75" w:rsidRPr="007A63EB" w:rsidRDefault="00CC74AE">
      <w:pPr>
        <w:spacing w:line="480" w:lineRule="exact"/>
        <w:ind w:left="960" w:hanging="960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 xml:space="preserve">  (</w:t>
      </w:r>
      <w:r w:rsidRPr="007A63EB">
        <w:rPr>
          <w:rFonts w:ascii="標楷體" w:eastAsia="標楷體" w:hAnsi="標楷體" w:cs="標楷體"/>
          <w:sz w:val="28"/>
          <w:szCs w:val="28"/>
        </w:rPr>
        <w:t>四</w:t>
      </w:r>
      <w:r w:rsidRPr="007A63EB">
        <w:rPr>
          <w:rFonts w:ascii="標楷體" w:eastAsia="標楷體" w:hAnsi="標楷體" w:cs="標楷體"/>
          <w:sz w:val="28"/>
          <w:szCs w:val="28"/>
        </w:rPr>
        <w:t>)</w:t>
      </w:r>
      <w:r w:rsidRPr="007A63EB">
        <w:rPr>
          <w:rFonts w:ascii="標楷體" w:eastAsia="標楷體" w:hAnsi="標楷體" w:cs="標楷體"/>
          <w:sz w:val="28"/>
          <w:szCs w:val="28"/>
        </w:rPr>
        <w:t>無管理委員會之集合式住宅訪查件數</w:t>
      </w:r>
      <w:r w:rsidRPr="007A63EB">
        <w:rPr>
          <w:rFonts w:ascii="標楷體" w:eastAsia="標楷體" w:hAnsi="標楷體" w:cs="標楷體"/>
          <w:sz w:val="28"/>
          <w:szCs w:val="28"/>
        </w:rPr>
        <w:t>:</w:t>
      </w:r>
      <w:r w:rsidRPr="007A63EB">
        <w:rPr>
          <w:rFonts w:ascii="標楷體" w:eastAsia="標楷體" w:hAnsi="標楷體" w:cs="標楷體"/>
          <w:sz w:val="28"/>
          <w:szCs w:val="28"/>
        </w:rPr>
        <w:t xml:space="preserve"> </w:t>
      </w:r>
      <w:r w:rsidRPr="007A63EB">
        <w:rPr>
          <w:rFonts w:ascii="標楷體" w:eastAsia="標楷體" w:hAnsi="標楷體" w:cs="標楷體"/>
          <w:sz w:val="28"/>
          <w:szCs w:val="28"/>
        </w:rPr>
        <w:t>對於轄內環境單純但未</w:t>
      </w:r>
      <w:proofErr w:type="gramStart"/>
      <w:r w:rsidRPr="007A63EB">
        <w:rPr>
          <w:rFonts w:ascii="標楷體" w:eastAsia="標楷體" w:hAnsi="標楷體" w:cs="標楷體"/>
          <w:sz w:val="28"/>
          <w:szCs w:val="28"/>
        </w:rPr>
        <w:t>僱</w:t>
      </w:r>
      <w:proofErr w:type="gramEnd"/>
      <w:r w:rsidRPr="007A63EB">
        <w:rPr>
          <w:rFonts w:ascii="標楷體" w:eastAsia="標楷體" w:hAnsi="標楷體" w:cs="標楷體"/>
          <w:sz w:val="28"/>
          <w:szCs w:val="28"/>
        </w:rPr>
        <w:t>有保全人員或未有管理委員會之集合式住宅，得</w:t>
      </w:r>
      <w:proofErr w:type="gramStart"/>
      <w:r w:rsidRPr="007A63EB">
        <w:rPr>
          <w:rFonts w:ascii="標楷體" w:eastAsia="標楷體" w:hAnsi="標楷體" w:cs="標楷體"/>
          <w:sz w:val="28"/>
          <w:szCs w:val="28"/>
        </w:rPr>
        <w:t>準</w:t>
      </w:r>
      <w:proofErr w:type="gramEnd"/>
      <w:r w:rsidRPr="007A63EB">
        <w:rPr>
          <w:rFonts w:ascii="標楷體" w:eastAsia="標楷體" w:hAnsi="標楷體" w:cs="標楷體"/>
          <w:sz w:val="28"/>
          <w:szCs w:val="28"/>
        </w:rPr>
        <w:t>用前項規定，</w:t>
      </w:r>
      <w:proofErr w:type="gramStart"/>
      <w:r w:rsidRPr="007A63EB">
        <w:rPr>
          <w:rFonts w:ascii="標楷體" w:eastAsia="標楷體" w:hAnsi="標楷體" w:cs="標楷體"/>
          <w:sz w:val="28"/>
          <w:szCs w:val="28"/>
        </w:rPr>
        <w:t>併</w:t>
      </w:r>
      <w:proofErr w:type="gramEnd"/>
      <w:r w:rsidRPr="007A63EB">
        <w:rPr>
          <w:rFonts w:ascii="標楷體" w:eastAsia="標楷體" w:hAnsi="標楷體" w:cs="標楷體"/>
          <w:sz w:val="28"/>
          <w:szCs w:val="28"/>
        </w:rPr>
        <w:t>於社區治安會議舉行。</w:t>
      </w:r>
    </w:p>
    <w:p w:rsidR="00A56A75" w:rsidRPr="007A63EB" w:rsidRDefault="00CC74AE">
      <w:pPr>
        <w:spacing w:line="480" w:lineRule="exact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 xml:space="preserve">  (</w:t>
      </w:r>
      <w:r w:rsidRPr="007A63EB">
        <w:rPr>
          <w:rFonts w:ascii="標楷體" w:eastAsia="標楷體" w:hAnsi="標楷體" w:cs="標楷體"/>
          <w:sz w:val="28"/>
          <w:szCs w:val="28"/>
        </w:rPr>
        <w:t>五</w:t>
      </w:r>
      <w:r w:rsidRPr="007A63EB">
        <w:rPr>
          <w:rFonts w:ascii="標楷體" w:eastAsia="標楷體" w:hAnsi="標楷體" w:cs="標楷體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一般</w:t>
      </w:r>
      <w:r w:rsidRPr="007A63EB">
        <w:rPr>
          <w:rFonts w:ascii="標楷體" w:eastAsia="標楷體" w:hAnsi="標楷體" w:cs="標楷體"/>
          <w:sz w:val="28"/>
          <w:szCs w:val="28"/>
        </w:rPr>
        <w:t>人口訪查戶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次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A63EB">
        <w:rPr>
          <w:rFonts w:ascii="標楷體" w:eastAsia="標楷體" w:hAnsi="標楷體" w:cs="標楷體"/>
          <w:sz w:val="28"/>
          <w:szCs w:val="28"/>
        </w:rPr>
        <w:t>數</w:t>
      </w:r>
      <w:r w:rsidRPr="007A63EB">
        <w:rPr>
          <w:rFonts w:ascii="標楷體" w:eastAsia="標楷體" w:hAnsi="標楷體" w:cs="標楷體"/>
          <w:sz w:val="28"/>
          <w:szCs w:val="28"/>
        </w:rPr>
        <w:t>: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治安顧慮人口及記事人口</w:t>
      </w:r>
      <w:r w:rsidRPr="007A63EB">
        <w:rPr>
          <w:rFonts w:ascii="標楷體" w:eastAsia="標楷體" w:hAnsi="標楷體" w:cs="標楷體"/>
          <w:sz w:val="28"/>
          <w:szCs w:val="28"/>
        </w:rPr>
        <w:t>以外之人口訪查戶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次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A63EB">
        <w:rPr>
          <w:rFonts w:ascii="標楷體" w:eastAsia="標楷體" w:hAnsi="標楷體" w:cs="標楷體"/>
          <w:sz w:val="28"/>
          <w:szCs w:val="28"/>
        </w:rPr>
        <w:t>數。</w:t>
      </w:r>
    </w:p>
    <w:p w:rsidR="00A56A75" w:rsidRPr="007A63EB" w:rsidRDefault="00CC74AE">
      <w:pPr>
        <w:spacing w:line="480" w:lineRule="exact"/>
        <w:ind w:left="960" w:hanging="960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 xml:space="preserve">  (</w:t>
      </w:r>
      <w:r w:rsidRPr="007A63EB">
        <w:rPr>
          <w:rFonts w:ascii="標楷體" w:eastAsia="標楷體" w:hAnsi="標楷體" w:cs="標楷體"/>
          <w:sz w:val="28"/>
          <w:szCs w:val="28"/>
        </w:rPr>
        <w:t>六</w:t>
      </w:r>
      <w:r w:rsidRPr="007A63EB">
        <w:rPr>
          <w:rFonts w:ascii="標楷體" w:eastAsia="標楷體" w:hAnsi="標楷體" w:cs="標楷體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諮詢對象聯繫拜訪戶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次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數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:</w:t>
      </w:r>
      <w:r w:rsidRPr="007A63EB">
        <w:rPr>
          <w:rFonts w:ascii="標楷體" w:eastAsia="標楷體" w:hAnsi="標楷體" w:cs="標楷體"/>
          <w:sz w:val="28"/>
          <w:szCs w:val="28"/>
        </w:rPr>
        <w:t>指「</w:t>
      </w:r>
      <w:r w:rsidRPr="007A63EB">
        <w:rPr>
          <w:rFonts w:ascii="標楷體" w:eastAsia="標楷體" w:hAnsi="標楷體" w:cs="標楷體"/>
          <w:sz w:val="28"/>
          <w:szCs w:val="28"/>
        </w:rPr>
        <w:t>村（里）鄰長、守望相助隊人員、社區（大樓）保全（管理）人員、各級民意代表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與其他</w:t>
      </w:r>
      <w:r w:rsidRPr="007A63EB">
        <w:rPr>
          <w:rFonts w:ascii="標楷體" w:eastAsia="標楷體" w:hAnsi="標楷體" w:cs="標楷體"/>
          <w:sz w:val="28"/>
          <w:szCs w:val="28"/>
        </w:rPr>
        <w:t>熱心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為民服務及維護</w:t>
      </w:r>
      <w:r w:rsidRPr="007A63EB">
        <w:rPr>
          <w:rFonts w:ascii="標楷體" w:eastAsia="標楷體" w:hAnsi="標楷體" w:cs="標楷體"/>
          <w:sz w:val="28"/>
          <w:szCs w:val="28"/>
        </w:rPr>
        <w:t>地方治安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之</w:t>
      </w:r>
      <w:r w:rsidRPr="007A63EB">
        <w:rPr>
          <w:rFonts w:ascii="標楷體" w:eastAsia="標楷體" w:hAnsi="標楷體" w:cs="標楷體"/>
          <w:sz w:val="28"/>
          <w:szCs w:val="28"/>
        </w:rPr>
        <w:t>人」之聯繫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拜</w:t>
      </w:r>
      <w:r w:rsidRPr="007A63EB">
        <w:rPr>
          <w:rFonts w:ascii="標楷體" w:eastAsia="標楷體" w:hAnsi="標楷體" w:cs="標楷體"/>
          <w:sz w:val="28"/>
          <w:szCs w:val="28"/>
        </w:rPr>
        <w:t>訪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戶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次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數</w:t>
      </w:r>
      <w:r w:rsidRPr="007A63EB">
        <w:rPr>
          <w:rFonts w:ascii="標楷體" w:eastAsia="標楷體" w:hAnsi="標楷體" w:cs="標楷體"/>
          <w:sz w:val="28"/>
          <w:szCs w:val="28"/>
        </w:rPr>
        <w:t>，不包含前款「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一般</w:t>
      </w:r>
      <w:r w:rsidRPr="007A63EB">
        <w:rPr>
          <w:rFonts w:ascii="標楷體" w:eastAsia="標楷體" w:hAnsi="標楷體" w:cs="標楷體"/>
          <w:sz w:val="28"/>
          <w:szCs w:val="28"/>
        </w:rPr>
        <w:t>人口訪查戶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lastRenderedPageBreak/>
        <w:t>(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次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A63EB">
        <w:rPr>
          <w:rFonts w:ascii="標楷體" w:eastAsia="標楷體" w:hAnsi="標楷體" w:cs="標楷體"/>
          <w:sz w:val="28"/>
          <w:szCs w:val="28"/>
        </w:rPr>
        <w:t>數</w:t>
      </w:r>
      <w:r w:rsidRPr="007A63EB">
        <w:rPr>
          <w:rFonts w:ascii="標楷體" w:eastAsia="標楷體" w:hAnsi="標楷體" w:cs="標楷體"/>
          <w:sz w:val="28"/>
          <w:szCs w:val="28"/>
        </w:rPr>
        <w:t>」。</w:t>
      </w:r>
    </w:p>
    <w:p w:rsidR="00A56A75" w:rsidRPr="007A63EB" w:rsidRDefault="00CC74AE">
      <w:pPr>
        <w:spacing w:line="480" w:lineRule="exact"/>
        <w:ind w:left="960" w:hanging="960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 xml:space="preserve">  (</w:t>
      </w:r>
      <w:r w:rsidRPr="007A63EB">
        <w:rPr>
          <w:rFonts w:ascii="標楷體" w:eastAsia="標楷體" w:hAnsi="標楷體" w:cs="標楷體"/>
          <w:sz w:val="28"/>
          <w:szCs w:val="28"/>
        </w:rPr>
        <w:t>七</w:t>
      </w:r>
      <w:r w:rsidRPr="007A63EB">
        <w:rPr>
          <w:rFonts w:ascii="標楷體" w:eastAsia="標楷體" w:hAnsi="標楷體" w:cs="標楷體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無設籍治安顧慮人口及記事人口數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: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執行警勤區訪查所發現之人口。</w:t>
      </w:r>
    </w:p>
    <w:p w:rsidR="00A56A75" w:rsidRPr="007A63EB" w:rsidRDefault="00CC74AE">
      <w:pPr>
        <w:spacing w:line="500" w:lineRule="exact"/>
        <w:ind w:left="646" w:hanging="328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>(</w:t>
      </w:r>
      <w:r w:rsidRPr="007A63EB">
        <w:rPr>
          <w:rFonts w:ascii="標楷體" w:eastAsia="標楷體" w:hAnsi="標楷體" w:cs="標楷體"/>
          <w:sz w:val="28"/>
          <w:szCs w:val="28"/>
        </w:rPr>
        <w:t>八</w:t>
      </w:r>
      <w:r w:rsidRPr="007A63EB">
        <w:rPr>
          <w:rFonts w:ascii="標楷體" w:eastAsia="標楷體" w:hAnsi="標楷體" w:cs="標楷體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治安重點處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場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所</w:t>
      </w:r>
      <w:r w:rsidRPr="007A63EB">
        <w:rPr>
          <w:rFonts w:ascii="標楷體" w:eastAsia="標楷體" w:hAnsi="標楷體" w:cs="標楷體"/>
          <w:sz w:val="28"/>
          <w:szCs w:val="28"/>
        </w:rPr>
        <w:t>：係指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曾被查獲涉及犯罪行為或被民眾舉報</w:t>
      </w:r>
      <w:proofErr w:type="gramStart"/>
      <w:r w:rsidRPr="007A63EB">
        <w:rPr>
          <w:rFonts w:ascii="標楷體" w:eastAsia="標楷體" w:hAnsi="標楷體" w:cs="標楷體"/>
          <w:color w:val="FF0000"/>
          <w:sz w:val="28"/>
          <w:szCs w:val="28"/>
        </w:rPr>
        <w:t>疑</w:t>
      </w:r>
      <w:proofErr w:type="gramEnd"/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有犯罪行為之處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(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場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)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所</w:t>
      </w:r>
      <w:r w:rsidRPr="007A63EB">
        <w:rPr>
          <w:rFonts w:ascii="標楷體" w:eastAsia="標楷體" w:hAnsi="標楷體" w:cs="標楷體"/>
          <w:sz w:val="28"/>
          <w:szCs w:val="28"/>
        </w:rPr>
        <w:t>。</w:t>
      </w:r>
    </w:p>
    <w:p w:rsidR="00A56A75" w:rsidRPr="007A63EB" w:rsidRDefault="00CC74AE" w:rsidP="007A63EB">
      <w:pPr>
        <w:spacing w:line="500" w:lineRule="exact"/>
        <w:ind w:left="3969" w:hanging="3969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>五、資料蒐集方法及編製程序：依據各分局</w:t>
      </w:r>
      <w:bookmarkStart w:id="0" w:name="_GoBack"/>
      <w:bookmarkEnd w:id="0"/>
      <w:r w:rsidRPr="007A63EB">
        <w:rPr>
          <w:rFonts w:ascii="標楷體" w:eastAsia="標楷體" w:hAnsi="標楷體" w:cs="標楷體"/>
          <w:sz w:val="28"/>
          <w:szCs w:val="28"/>
        </w:rPr>
        <w:t>每月陳報警察局「執行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警勤區</w:t>
      </w:r>
      <w:r w:rsidRPr="007A63EB">
        <w:rPr>
          <w:rFonts w:ascii="標楷體" w:eastAsia="標楷體" w:hAnsi="標楷體" w:cs="標楷體"/>
          <w:sz w:val="28"/>
          <w:szCs w:val="28"/>
        </w:rPr>
        <w:t>訪查工作成果統計表」審核後彙編。</w:t>
      </w:r>
    </w:p>
    <w:p w:rsidR="00A56A75" w:rsidRPr="007A63EB" w:rsidRDefault="00CC74AE" w:rsidP="007A63EB">
      <w:pPr>
        <w:spacing w:line="500" w:lineRule="exact"/>
        <w:ind w:left="1985" w:hanging="1985"/>
        <w:rPr>
          <w:sz w:val="28"/>
          <w:szCs w:val="28"/>
        </w:rPr>
      </w:pPr>
      <w:r w:rsidRPr="007A63EB">
        <w:rPr>
          <w:rFonts w:ascii="標楷體" w:eastAsia="標楷體" w:hAnsi="標楷體" w:cs="標楷體"/>
          <w:sz w:val="28"/>
          <w:szCs w:val="28"/>
        </w:rPr>
        <w:t>六、編送對象：</w:t>
      </w:r>
      <w:proofErr w:type="gramStart"/>
      <w:r w:rsidRPr="007A63EB">
        <w:rPr>
          <w:rFonts w:ascii="標楷體" w:eastAsia="標楷體" w:hAnsi="標楷體" w:cs="標楷體"/>
          <w:sz w:val="28"/>
          <w:szCs w:val="28"/>
        </w:rPr>
        <w:t>本表編製</w:t>
      </w:r>
      <w:proofErr w:type="gramEnd"/>
      <w:r w:rsidRPr="007A63EB">
        <w:rPr>
          <w:rFonts w:ascii="標楷體" w:eastAsia="標楷體" w:hAnsi="標楷體" w:cs="標楷體"/>
          <w:sz w:val="28"/>
          <w:szCs w:val="28"/>
        </w:rPr>
        <w:t>1</w:t>
      </w:r>
      <w:r w:rsidRPr="007A63EB">
        <w:rPr>
          <w:rFonts w:ascii="標楷體" w:eastAsia="標楷體" w:hAnsi="標楷體" w:cs="標楷體"/>
          <w:sz w:val="28"/>
          <w:szCs w:val="28"/>
        </w:rPr>
        <w:t>式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3</w:t>
      </w:r>
      <w:r w:rsidRPr="007A63EB">
        <w:rPr>
          <w:rFonts w:ascii="標楷體" w:eastAsia="標楷體" w:hAnsi="標楷體" w:cs="標楷體"/>
          <w:sz w:val="28"/>
          <w:szCs w:val="28"/>
        </w:rPr>
        <w:t>份，先送會計室</w:t>
      </w:r>
      <w:r w:rsidRPr="007A63EB">
        <w:rPr>
          <w:rFonts w:ascii="標楷體" w:eastAsia="標楷體" w:hAnsi="標楷體" w:cs="標楷體"/>
          <w:sz w:val="28"/>
          <w:szCs w:val="28"/>
        </w:rPr>
        <w:t>會核，並經機關首長核章後，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1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份送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市</w:t>
      </w:r>
      <w:r w:rsidRPr="007A63EB">
        <w:rPr>
          <w:rFonts w:ascii="標楷體" w:eastAsia="標楷體" w:hAnsi="標楷體" w:cs="標楷體"/>
          <w:color w:val="FF0000"/>
          <w:sz w:val="28"/>
          <w:szCs w:val="28"/>
        </w:rPr>
        <w:t>政府主計處</w:t>
      </w:r>
      <w:r w:rsidRPr="007A63EB">
        <w:rPr>
          <w:rFonts w:ascii="標楷體" w:eastAsia="標楷體" w:hAnsi="標楷體" w:cs="標楷體"/>
          <w:sz w:val="28"/>
          <w:szCs w:val="28"/>
        </w:rPr>
        <w:t>，</w:t>
      </w:r>
      <w:r w:rsidRPr="007A63EB">
        <w:rPr>
          <w:rFonts w:ascii="標楷體" w:eastAsia="標楷體" w:hAnsi="標楷體" w:cs="標楷體"/>
          <w:sz w:val="28"/>
          <w:szCs w:val="28"/>
        </w:rPr>
        <w:t>1</w:t>
      </w:r>
      <w:r w:rsidRPr="007A63EB">
        <w:rPr>
          <w:rFonts w:ascii="標楷體" w:eastAsia="標楷體" w:hAnsi="標楷體" w:cs="標楷體"/>
          <w:sz w:val="28"/>
          <w:szCs w:val="28"/>
        </w:rPr>
        <w:t>份送會計室</w:t>
      </w:r>
      <w:r w:rsidRPr="007A63EB">
        <w:rPr>
          <w:rFonts w:ascii="標楷體" w:eastAsia="標楷體" w:hAnsi="標楷體" w:cs="標楷體"/>
          <w:sz w:val="28"/>
          <w:szCs w:val="28"/>
        </w:rPr>
        <w:t xml:space="preserve"> </w:t>
      </w:r>
      <w:r w:rsidRPr="007A63EB">
        <w:rPr>
          <w:rFonts w:ascii="標楷體" w:eastAsia="標楷體" w:hAnsi="標楷體" w:cs="標楷體"/>
          <w:sz w:val="28"/>
          <w:szCs w:val="28"/>
        </w:rPr>
        <w:t>，</w:t>
      </w:r>
      <w:r w:rsidRPr="007A63EB">
        <w:rPr>
          <w:rFonts w:ascii="標楷體" w:eastAsia="標楷體" w:hAnsi="標楷體" w:cs="標楷體"/>
          <w:sz w:val="28"/>
          <w:szCs w:val="28"/>
        </w:rPr>
        <w:t>1</w:t>
      </w:r>
      <w:r w:rsidRPr="007A63EB">
        <w:rPr>
          <w:rFonts w:ascii="標楷體" w:eastAsia="標楷體" w:hAnsi="標楷體" w:cs="標楷體"/>
          <w:sz w:val="28"/>
          <w:szCs w:val="28"/>
        </w:rPr>
        <w:t>份</w:t>
      </w:r>
      <w:proofErr w:type="gramStart"/>
      <w:r w:rsidRPr="007A63EB">
        <w:rPr>
          <w:rFonts w:ascii="標楷體" w:eastAsia="標楷體" w:hAnsi="標楷體" w:cs="標楷體"/>
          <w:sz w:val="28"/>
          <w:szCs w:val="28"/>
        </w:rPr>
        <w:t>自存外</w:t>
      </w:r>
      <w:proofErr w:type="gramEnd"/>
      <w:r w:rsidRPr="007A63EB">
        <w:rPr>
          <w:rFonts w:ascii="標楷體" w:eastAsia="標楷體" w:hAnsi="標楷體" w:cs="標楷體"/>
          <w:sz w:val="28"/>
          <w:szCs w:val="28"/>
        </w:rPr>
        <w:t>，並應於規定期限內由</w:t>
      </w:r>
      <w:proofErr w:type="gramStart"/>
      <w:r w:rsidRPr="007A63EB">
        <w:rPr>
          <w:rFonts w:ascii="標楷體" w:eastAsia="標楷體" w:hAnsi="標楷體" w:cs="標楷體"/>
          <w:sz w:val="28"/>
          <w:szCs w:val="28"/>
        </w:rPr>
        <w:t>網際網路線上傳送</w:t>
      </w:r>
      <w:proofErr w:type="gramEnd"/>
      <w:r w:rsidRPr="007A63EB">
        <w:rPr>
          <w:rFonts w:ascii="標楷體" w:eastAsia="標楷體" w:hAnsi="標楷體" w:cs="標楷體"/>
          <w:sz w:val="28"/>
          <w:szCs w:val="28"/>
        </w:rPr>
        <w:t>至內政部警政署警政統計資料庫。</w:t>
      </w:r>
    </w:p>
    <w:sectPr w:rsidR="00A56A75" w:rsidRPr="007A63EB" w:rsidSect="003463F0">
      <w:footerReference w:type="default" r:id="rId8"/>
      <w:pgSz w:w="16839" w:h="11907" w:orient="landscape" w:code="9"/>
      <w:pgMar w:top="1560" w:right="1388" w:bottom="1985" w:left="1418" w:header="0" w:footer="567" w:gutter="0"/>
      <w:pgNumType w:start="1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4AE" w:rsidRDefault="00CC74AE">
      <w:r>
        <w:separator/>
      </w:r>
    </w:p>
  </w:endnote>
  <w:endnote w:type="continuationSeparator" w:id="0">
    <w:p w:rsidR="00CC74AE" w:rsidRDefault="00CC7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6A75" w:rsidRDefault="00A56A7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4AE" w:rsidRDefault="00CC74AE">
      <w:r>
        <w:separator/>
      </w:r>
    </w:p>
  </w:footnote>
  <w:footnote w:type="continuationSeparator" w:id="0">
    <w:p w:rsidR="00CC74AE" w:rsidRDefault="00CC74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6A75"/>
    <w:rsid w:val="003463F0"/>
    <w:rsid w:val="007A63EB"/>
    <w:rsid w:val="00A56A75"/>
    <w:rsid w:val="00CC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qFormat/>
    <w:rPr>
      <w:rFonts w:ascii="Times New Roman" w:eastAsia="新細明體;PMingLiU" w:hAnsi="Times New Roman" w:cs="Times New Roman"/>
      <w:sz w:val="20"/>
      <w:szCs w:val="20"/>
    </w:rPr>
  </w:style>
  <w:style w:type="character" w:styleId="a4">
    <w:name w:val="page number"/>
  </w:style>
  <w:style w:type="character" w:customStyle="1" w:styleId="a5">
    <w:name w:val="頁首 字元"/>
    <w:qFormat/>
    <w:rPr>
      <w:rFonts w:ascii="Times New Roman" w:hAnsi="Times New Roman" w:cs="Times New Roman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c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d">
    <w:name w:val="Balloon Text"/>
    <w:basedOn w:val="a"/>
    <w:link w:val="ae"/>
    <w:uiPriority w:val="99"/>
    <w:semiHidden/>
    <w:unhideWhenUsed/>
    <w:rsid w:val="003463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463F0"/>
    <w:rPr>
      <w:rFonts w:asciiTheme="majorHAnsi" w:eastAsiaTheme="majorEastAsia" w:hAnsiTheme="majorHAnsi" w:cstheme="majorBidi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2D5AE-A512-4461-BF3A-DC48400EA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李瑞雲</cp:lastModifiedBy>
  <cp:revision>3</cp:revision>
  <cp:lastPrinted>2020-01-09T01:07:00Z</cp:lastPrinted>
  <dcterms:created xsi:type="dcterms:W3CDTF">2020-01-09T00:57:00Z</dcterms:created>
  <dcterms:modified xsi:type="dcterms:W3CDTF">2020-01-09T01:09:00Z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2016-09-07T09:48:00Z</dcterms:created>
  <dc:creator>林小玲</dc:creator>
  <dc:description/>
  <cp:keywords/>
  <dc:language>zh-TW</dc:language>
  <cp:lastModifiedBy>伍學綱</cp:lastModifiedBy>
  <dcterms:modified xsi:type="dcterms:W3CDTF">2019-12-11T16:16:00Z</dcterms:modified>
  <cp:revision>8</cp:revision>
  <dc:subject/>
  <dc:title/>
</cp:coreProperties>
</file>